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18"/>
        </w:rPr>
        <w:t>文件编号：QP-005</w:t>
      </w:r>
    </w:p>
    <w:p>
      <w:r>
        <w:rPr>
          <w:b/>
          <w:sz w:val="18"/>
        </w:rPr>
        <w:t>版    本：A/0</w:t>
      </w:r>
    </w:p>
    <w:p>
      <w:r>
        <w:rPr>
          <w:b/>
          <w:sz w:val="18"/>
        </w:rPr>
        <w:t>生效日期：2026-03-25</w:t>
      </w:r>
    </w:p>
    <w:p>
      <w:r>
        <w:rPr>
          <w:b/>
          <w:sz w:val="18"/>
        </w:rPr>
        <w:t>页    码：第 1 页 共 7 页</w:t>
      </w:r>
    </w:p>
    <w:p/>
    <w:p>
      <w:pPr>
        <w:pStyle w:val="Title"/>
        <w:jc w:val="center"/>
      </w:pPr>
      <w:r>
        <w:t>纠正和预防措施控制程序</w:t>
      </w:r>
    </w:p>
    <w:p/>
    <w:p>
      <w:pPr>
        <w:pStyle w:val="Heading1"/>
      </w:pPr>
      <w:r>
        <w:t>1. 目的</w:t>
      </w:r>
    </w:p>
    <w:p>
      <w:r>
        <w:t>为消除质量管理体系运行中发现的不合格或其他不期望情况的原因，防止其再次发生或潜在发生，持续改进质量管理体系的有效性，特制定本程序。</w:t>
      </w:r>
    </w:p>
    <w:p>
      <w:pPr>
        <w:pStyle w:val="Heading1"/>
      </w:pPr>
      <w:r>
        <w:t>2. 范围</w:t>
      </w:r>
    </w:p>
    <w:p>
      <w:r>
        <w:t>本程序适用于公司内所有纠正措施和预防措施的制定、实施和验证，包括：</w:t>
      </w:r>
    </w:p>
    <w:p>
      <w:pPr>
        <w:pStyle w:val="ListBullet"/>
      </w:pPr>
      <w:r>
        <w:t>纠正措施：消除已发现不合格的原因，防止再发生</w:t>
      </w:r>
    </w:p>
    <w:p>
      <w:pPr>
        <w:pStyle w:val="ListBullet"/>
      </w:pPr>
      <w:r>
        <w:t>预防措施：消除潜在不合格的原因，防止发生</w:t>
      </w:r>
    </w:p>
    <w:p>
      <w:pPr>
        <w:pStyle w:val="ListBullet"/>
      </w:pPr>
      <w:r>
        <w:t>持续改进：基于数据分析的体系改进</w:t>
      </w:r>
    </w:p>
    <w:p>
      <w:pPr>
        <w:pStyle w:val="Heading1"/>
      </w:pPr>
      <w:r>
        <w:t>3. 术语和定义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156"/>
        <w:gridCol w:w="4156"/>
      </w:tblGrid>
      <w:tr>
        <w:tc>
          <w:tcPr>
            <w:tcW w:type="dxa" w:w="4156"/>
          </w:tcPr>
          <w:p>
            <w:r>
              <w:t>术语</w:t>
            </w:r>
          </w:p>
        </w:tc>
        <w:tc>
          <w:tcPr>
            <w:tcW w:type="dxa" w:w="4156"/>
          </w:tcPr>
          <w:p>
            <w:r>
              <w:t>定义</w:t>
            </w:r>
          </w:p>
        </w:tc>
      </w:tr>
      <w:tr>
        <w:tc>
          <w:tcPr>
            <w:tcW w:type="dxa" w:w="4156"/>
          </w:tcPr>
          <w:p>
            <w:r>
              <w:t>纠正措施</w:t>
            </w:r>
          </w:p>
        </w:tc>
        <w:tc>
          <w:tcPr>
            <w:tcW w:type="dxa" w:w="4156"/>
          </w:tcPr>
          <w:p>
            <w:r>
              <w:t>为消除已发现的不合格或其他不期望情况的原因所采取的措施</w:t>
            </w:r>
          </w:p>
        </w:tc>
      </w:tr>
      <w:tr>
        <w:tc>
          <w:tcPr>
            <w:tcW w:type="dxa" w:w="4156"/>
          </w:tcPr>
          <w:p>
            <w:r>
              <w:t>预防措施</w:t>
            </w:r>
          </w:p>
        </w:tc>
        <w:tc>
          <w:tcPr>
            <w:tcW w:type="dxa" w:w="4156"/>
          </w:tcPr>
          <w:p>
            <w:r>
              <w:t>为消除潜在不合格或其他潜在不期望情况的原因所采取的措施</w:t>
            </w:r>
          </w:p>
        </w:tc>
      </w:tr>
      <w:tr>
        <w:tc>
          <w:tcPr>
            <w:tcW w:type="dxa" w:w="4156"/>
          </w:tcPr>
          <w:p>
            <w:r>
              <w:t>纠正</w:t>
            </w:r>
          </w:p>
        </w:tc>
        <w:tc>
          <w:tcPr>
            <w:tcW w:type="dxa" w:w="4156"/>
          </w:tcPr>
          <w:p>
            <w:r>
              <w:t>为消除已发现的不合格所采取的措施</w:t>
            </w:r>
          </w:p>
        </w:tc>
      </w:tr>
    </w:tbl>
    <w:p/>
    <w:p>
      <w:pPr>
        <w:pStyle w:val="Heading1"/>
      </w:pPr>
      <w:r>
        <w:t>4. 职责</w:t>
      </w:r>
    </w:p>
    <w:p>
      <w:pPr>
        <w:pStyle w:val="Heading2"/>
      </w:pPr>
      <w:r>
        <w:t>4.1 质量部</w:t>
      </w:r>
    </w:p>
    <w:p>
      <w:pPr>
        <w:pStyle w:val="ListBullet"/>
      </w:pPr>
      <w:r>
        <w:t>归口管理纠正和预防措施</w:t>
      </w:r>
    </w:p>
    <w:p>
      <w:pPr>
        <w:pStyle w:val="ListBullet"/>
      </w:pPr>
      <w:r>
        <w:t>组织重大不合格的原因分析</w:t>
      </w:r>
    </w:p>
    <w:p>
      <w:pPr>
        <w:pStyle w:val="ListBullet"/>
      </w:pPr>
      <w:r>
        <w:t>跟踪验证措施实施效果</w:t>
      </w:r>
    </w:p>
    <w:p>
      <w:pPr>
        <w:pStyle w:val="ListBullet"/>
      </w:pPr>
      <w:r>
        <w:t>统计分析措施数据</w:t>
      </w:r>
    </w:p>
    <w:p>
      <w:pPr>
        <w:pStyle w:val="ListBullet"/>
      </w:pPr>
      <w:r>
        <w:t>维护《纠正和预防措施台账》（FM-023）</w:t>
      </w:r>
    </w:p>
    <w:p>
      <w:pPr>
        <w:pStyle w:val="Heading2"/>
      </w:pPr>
      <w:r>
        <w:t>4.2 责任部门</w:t>
      </w:r>
    </w:p>
    <w:p>
      <w:pPr>
        <w:pStyle w:val="ListBullet"/>
      </w:pPr>
      <w:r>
        <w:t>负责本部门不合格的原因分析</w:t>
      </w:r>
    </w:p>
    <w:p>
      <w:pPr>
        <w:pStyle w:val="ListBullet"/>
      </w:pPr>
      <w:r>
        <w:t>制定并实施纠正/预防措施</w:t>
      </w:r>
    </w:p>
    <w:p>
      <w:pPr>
        <w:pStyle w:val="ListBullet"/>
      </w:pPr>
      <w:r>
        <w:t>报告措施完成情况</w:t>
      </w:r>
    </w:p>
    <w:p>
      <w:pPr>
        <w:pStyle w:val="ListBullet"/>
      </w:pPr>
      <w:r>
        <w:t>配合效果验证</w:t>
      </w:r>
    </w:p>
    <w:p>
      <w:pPr>
        <w:pStyle w:val="Heading2"/>
      </w:pPr>
      <w:r>
        <w:t>4.3 管理者代表</w:t>
      </w:r>
    </w:p>
    <w:p>
      <w:pPr>
        <w:pStyle w:val="ListBullet"/>
      </w:pPr>
      <w:r>
        <w:t>审批重大纠正和预防措施</w:t>
      </w:r>
    </w:p>
    <w:p>
      <w:pPr>
        <w:pStyle w:val="ListBullet"/>
      </w:pPr>
      <w:r>
        <w:t>协调跨部门的措施实施</w:t>
      </w:r>
    </w:p>
    <w:p>
      <w:pPr>
        <w:pStyle w:val="ListBullet"/>
      </w:pPr>
      <w:r>
        <w:t>向总经理报告措施实施情况</w:t>
      </w:r>
    </w:p>
    <w:p>
      <w:pPr>
        <w:pStyle w:val="Heading2"/>
      </w:pPr>
      <w:r>
        <w:t>4.4 总经理</w:t>
      </w:r>
    </w:p>
    <w:p>
      <w:pPr>
        <w:pStyle w:val="ListBullet"/>
      </w:pPr>
      <w:r>
        <w:t>批准体系级改进措施</w:t>
      </w:r>
    </w:p>
    <w:p>
      <w:pPr>
        <w:pStyle w:val="ListBullet"/>
      </w:pPr>
      <w:r>
        <w:t>确保资源提供</w:t>
      </w:r>
    </w:p>
    <w:p/>
    <w:p>
      <w:pPr>
        <w:pStyle w:val="Heading1"/>
      </w:pPr>
      <w:r>
        <w:t>5. 工作程序</w:t>
      </w:r>
    </w:p>
    <w:p>
      <w:pPr>
        <w:pStyle w:val="Heading2"/>
      </w:pPr>
      <w:r>
        <w:t>5.1 纠正措施</w:t>
      </w:r>
    </w:p>
    <w:p>
      <w:pPr>
        <w:pStyle w:val="Heading3"/>
      </w:pPr>
      <w:r>
        <w:t>5.1.1 不合格识别</w:t>
      </w:r>
    </w:p>
    <w:p>
      <w:pPr>
        <w:pStyle w:val="ListBullet"/>
      </w:pPr>
      <w:r>
        <w:t>不合格来源：内外部审核、管理评审、客户投诉、过程监控、产品检验、供应商问题等</w:t>
      </w:r>
    </w:p>
    <w:p>
      <w:pPr>
        <w:pStyle w:val="ListBullet"/>
      </w:pPr>
      <w:r>
        <w:t>发现不合格时，记录不合格事实</w:t>
      </w:r>
    </w:p>
    <w:p>
      <w:pPr>
        <w:pStyle w:val="ListBullet"/>
      </w:pPr>
      <w:r>
        <w:t>评估不合格的影响程度</w:t>
      </w:r>
    </w:p>
    <w:p>
      <w:pPr>
        <w:pStyle w:val="Heading3"/>
      </w:pPr>
      <w:r>
        <w:t>5.1.2 原因分析</w:t>
      </w:r>
    </w:p>
    <w:p>
      <w:pPr>
        <w:pStyle w:val="ListBullet"/>
      </w:pPr>
      <w:r>
        <w:t>责任部门组织相关人员分析不合格原因</w:t>
      </w:r>
    </w:p>
    <w:p>
      <w:pPr>
        <w:pStyle w:val="ListBullet"/>
      </w:pPr>
      <w:r>
        <w:t>使用适当的分析工具（5Why、鱼骨图、FTA 等）</w:t>
      </w:r>
    </w:p>
    <w:p>
      <w:pPr>
        <w:pStyle w:val="ListBullet"/>
      </w:pPr>
      <w:r>
        <w:t>找出根本原因，而非表面原因</w:t>
      </w:r>
    </w:p>
    <w:p>
      <w:pPr>
        <w:pStyle w:val="ListBullet"/>
      </w:pPr>
      <w:r>
        <w:t>重大不合格由质量部组织分析</w:t>
      </w:r>
    </w:p>
    <w:p>
      <w:pPr>
        <w:pStyle w:val="Heading3"/>
      </w:pPr>
      <w:r>
        <w:t>5.1.3 措施制定</w:t>
      </w:r>
    </w:p>
    <w:p>
      <w:pPr>
        <w:pStyle w:val="ListBullet"/>
      </w:pPr>
      <w:r>
        <w:t>根据原因分析结果，制定纠正措施</w:t>
      </w:r>
    </w:p>
    <w:p>
      <w:pPr>
        <w:pStyle w:val="ListBullet"/>
      </w:pPr>
      <w:r>
        <w:t>措施应具体、可操作、可验证</w:t>
      </w:r>
    </w:p>
    <w:p>
      <w:pPr>
        <w:pStyle w:val="ListBullet"/>
      </w:pPr>
      <w:r>
        <w:t>明确责任人、完成时间、预期效果</w:t>
      </w:r>
    </w:p>
    <w:p>
      <w:pPr>
        <w:pStyle w:val="ListBullet"/>
      </w:pPr>
      <w:r>
        <w:t>填写《纠正和预防措施报告》（FM-024）</w:t>
      </w:r>
    </w:p>
    <w:p>
      <w:pPr>
        <w:pStyle w:val="ListBullet"/>
      </w:pPr>
      <w:r>
        <w:t>重大措施需管理者代表审批</w:t>
      </w:r>
    </w:p>
    <w:p>
      <w:pPr>
        <w:pStyle w:val="Heading3"/>
      </w:pPr>
      <w:r>
        <w:t>5.1.4 措施实施</w:t>
      </w:r>
    </w:p>
    <w:p>
      <w:pPr>
        <w:pStyle w:val="ListBullet"/>
      </w:pPr>
      <w:r>
        <w:t>责任部门按计划实施纠正措施</w:t>
      </w:r>
    </w:p>
    <w:p>
      <w:pPr>
        <w:pStyle w:val="ListBullet"/>
      </w:pPr>
      <w:r>
        <w:t>质量部跟踪实施进度</w:t>
      </w:r>
    </w:p>
    <w:p>
      <w:pPr>
        <w:pStyle w:val="ListBullet"/>
      </w:pPr>
      <w:r>
        <w:t>如遇困难及时报告</w:t>
      </w:r>
    </w:p>
    <w:p>
      <w:pPr>
        <w:pStyle w:val="ListBullet"/>
      </w:pPr>
      <w:r>
        <w:t>完成后填写完成报告</w:t>
      </w:r>
    </w:p>
    <w:p>
      <w:pPr>
        <w:pStyle w:val="Heading3"/>
      </w:pPr>
      <w:r>
        <w:t>5.1.5 效果验证</w:t>
      </w:r>
    </w:p>
    <w:p>
      <w:pPr>
        <w:pStyle w:val="ListBullet"/>
      </w:pPr>
      <w:r>
        <w:t>质量部组织验证措施效果</w:t>
      </w:r>
    </w:p>
    <w:p>
      <w:pPr>
        <w:pStyle w:val="ListBullet"/>
      </w:pPr>
      <w:r>
        <w:t>验证方法：查阅记录、现场检查、数据分析、客户反馈</w:t>
      </w:r>
    </w:p>
    <w:p>
      <w:pPr>
        <w:pStyle w:val="ListBullet"/>
      </w:pPr>
      <w:r>
        <w:t>验证合格：措施有效，关闭问题</w:t>
      </w:r>
    </w:p>
    <w:p>
      <w:pPr>
        <w:pStyle w:val="ListBullet"/>
      </w:pPr>
      <w:r>
        <w:t>验证不合格：重新分析原因，制定新措施</w:t>
      </w:r>
    </w:p>
    <w:p/>
    <w:p>
      <w:pPr>
        <w:pStyle w:val="Heading2"/>
      </w:pPr>
      <w:r>
        <w:t>5.2 预防措施</w:t>
      </w:r>
    </w:p>
    <w:p>
      <w:pPr>
        <w:pStyle w:val="Heading3"/>
      </w:pPr>
      <w:r>
        <w:t>5.2.1 潜在问题识别</w:t>
      </w:r>
    </w:p>
    <w:p>
      <w:pPr>
        <w:pStyle w:val="ListBullet"/>
      </w:pPr>
      <w:r>
        <w:t>信息来源：趋势分析、风险评估、客户反馈、行业信息、员工建议等</w:t>
      </w:r>
    </w:p>
    <w:p>
      <w:pPr>
        <w:pStyle w:val="ListBullet"/>
      </w:pPr>
      <w:r>
        <w:t>质量部定期分析数据，识别潜在问题</w:t>
      </w:r>
    </w:p>
    <w:p>
      <w:pPr>
        <w:pStyle w:val="ListBullet"/>
      </w:pPr>
      <w:r>
        <w:t>各部门主动报告潜在风险</w:t>
      </w:r>
    </w:p>
    <w:p>
      <w:pPr>
        <w:pStyle w:val="Heading3"/>
      </w:pPr>
      <w:r>
        <w:t>5.2.2 风险评估</w:t>
      </w:r>
    </w:p>
    <w:p>
      <w:pPr>
        <w:pStyle w:val="ListBullet"/>
      </w:pPr>
      <w:r>
        <w:t>评估潜在问题的严重程度</w:t>
      </w:r>
    </w:p>
    <w:p>
      <w:pPr>
        <w:pStyle w:val="ListBullet"/>
      </w:pPr>
      <w:r>
        <w:t>评估发生概率</w:t>
      </w:r>
    </w:p>
    <w:p>
      <w:pPr>
        <w:pStyle w:val="ListBullet"/>
      </w:pPr>
      <w:r>
        <w:t>确定优先级别</w:t>
      </w:r>
    </w:p>
    <w:p>
      <w:pPr>
        <w:pStyle w:val="ListBullet"/>
      </w:pPr>
      <w:r>
        <w:t>决定是否需要采取预防措施</w:t>
      </w:r>
    </w:p>
    <w:p>
      <w:pPr>
        <w:pStyle w:val="Heading3"/>
      </w:pPr>
      <w:r>
        <w:t>5.2.3 措施制定与实施</w:t>
      </w:r>
    </w:p>
    <w:p>
      <w:pPr>
        <w:pStyle w:val="ListBullet"/>
      </w:pPr>
      <w:r>
        <w:t>制定预防措施计划</w:t>
      </w:r>
    </w:p>
    <w:p>
      <w:pPr>
        <w:pStyle w:val="ListBullet"/>
      </w:pPr>
      <w:r>
        <w:t>明确责任人和完成时间</w:t>
      </w:r>
    </w:p>
    <w:p>
      <w:pPr>
        <w:pStyle w:val="ListBullet"/>
      </w:pPr>
      <w:r>
        <w:t>实施预防措施</w:t>
      </w:r>
    </w:p>
    <w:p>
      <w:pPr>
        <w:pStyle w:val="ListBullet"/>
      </w:pPr>
      <w:r>
        <w:t>记录实施情况</w:t>
      </w:r>
    </w:p>
    <w:p>
      <w:pPr>
        <w:pStyle w:val="Heading3"/>
      </w:pPr>
      <w:r>
        <w:t>5.2.4 效果评价</w:t>
      </w:r>
    </w:p>
    <w:p>
      <w:pPr>
        <w:pStyle w:val="ListBullet"/>
      </w:pPr>
      <w:r>
        <w:t>评价预防措施的有效性</w:t>
      </w:r>
    </w:p>
    <w:p>
      <w:pPr>
        <w:pStyle w:val="ListBullet"/>
      </w:pPr>
      <w:r>
        <w:t>确认潜在风险是否消除或降低</w:t>
      </w:r>
    </w:p>
    <w:p>
      <w:pPr>
        <w:pStyle w:val="ListBullet"/>
      </w:pPr>
      <w:r>
        <w:t>记录评价结果</w:t>
      </w:r>
    </w:p>
    <w:p/>
    <w:p>
      <w:pPr>
        <w:pStyle w:val="Heading2"/>
      </w:pPr>
      <w:r>
        <w:t>5.3 持续改进</w:t>
      </w:r>
    </w:p>
    <w:p>
      <w:pPr>
        <w:pStyle w:val="Heading3"/>
      </w:pPr>
      <w:r>
        <w:t>5.3.1 改进机会识别</w:t>
      </w:r>
    </w:p>
    <w:p>
      <w:pPr>
        <w:pStyle w:val="ListBullet"/>
      </w:pPr>
      <w:r>
        <w:t>基于数据分析发现改进机会</w:t>
      </w:r>
    </w:p>
    <w:p>
      <w:pPr>
        <w:pStyle w:val="ListBullet"/>
      </w:pPr>
      <w:r>
        <w:t>客户反馈和建议</w:t>
      </w:r>
    </w:p>
    <w:p>
      <w:pPr>
        <w:pStyle w:val="ListBullet"/>
      </w:pPr>
      <w:r>
        <w:t>员工改进建议</w:t>
      </w:r>
    </w:p>
    <w:p>
      <w:pPr>
        <w:pStyle w:val="ListBullet"/>
      </w:pPr>
      <w:r>
        <w:t>标杆对比</w:t>
      </w:r>
    </w:p>
    <w:p>
      <w:pPr>
        <w:pStyle w:val="ListBullet"/>
      </w:pPr>
      <w:r>
        <w:t>新技术、新方法应用</w:t>
      </w:r>
    </w:p>
    <w:p>
      <w:pPr>
        <w:pStyle w:val="Heading3"/>
      </w:pPr>
      <w:r>
        <w:t>5.3.2 改进项目实施</w:t>
      </w:r>
    </w:p>
    <w:p>
      <w:pPr>
        <w:pStyle w:val="ListBullet"/>
      </w:pPr>
      <w:r>
        <w:t>编制改进项目计划</w:t>
      </w:r>
    </w:p>
    <w:p>
      <w:pPr>
        <w:pStyle w:val="ListBullet"/>
      </w:pPr>
      <w:r>
        <w:t>明确目标、资源、时间</w:t>
      </w:r>
    </w:p>
    <w:p>
      <w:pPr>
        <w:pStyle w:val="ListBullet"/>
      </w:pPr>
      <w:r>
        <w:t>组织实施</w:t>
      </w:r>
    </w:p>
    <w:p>
      <w:pPr>
        <w:pStyle w:val="ListBullet"/>
      </w:pPr>
      <w:r>
        <w:t>评价改进效果</w:t>
      </w:r>
    </w:p>
    <w:p/>
    <w:p>
      <w:pPr>
        <w:pStyle w:val="Heading2"/>
      </w:pPr>
      <w:r>
        <w:t>5.4 措施分级管理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078"/>
        <w:gridCol w:w="2078"/>
        <w:gridCol w:w="2078"/>
        <w:gridCol w:w="2078"/>
      </w:tblGrid>
      <w:tr>
        <w:tc>
          <w:tcPr>
            <w:tcW w:type="dxa" w:w="2078"/>
          </w:tcPr>
          <w:p>
            <w:r>
              <w:t>级别</w:t>
            </w:r>
          </w:p>
        </w:tc>
        <w:tc>
          <w:tcPr>
            <w:tcW w:type="dxa" w:w="2078"/>
          </w:tcPr>
          <w:p>
            <w:r>
              <w:t>判定标准</w:t>
            </w:r>
          </w:p>
        </w:tc>
        <w:tc>
          <w:tcPr>
            <w:tcW w:type="dxa" w:w="2078"/>
          </w:tcPr>
          <w:p>
            <w:r>
              <w:t>审批权限</w:t>
            </w:r>
          </w:p>
        </w:tc>
        <w:tc>
          <w:tcPr>
            <w:tcW w:type="dxa" w:w="2078"/>
          </w:tcPr>
          <w:p>
            <w:r>
              <w:t>完成时限</w:t>
            </w:r>
          </w:p>
        </w:tc>
      </w:tr>
      <w:tr>
        <w:tc>
          <w:tcPr>
            <w:tcW w:type="dxa" w:w="2078"/>
          </w:tcPr>
          <w:p>
            <w:r>
              <w:t>一般</w:t>
            </w:r>
          </w:p>
        </w:tc>
        <w:tc>
          <w:tcPr>
            <w:tcW w:type="dxa" w:w="2078"/>
          </w:tcPr>
          <w:p>
            <w:r>
              <w:t>影响范围小，易解决</w:t>
            </w:r>
          </w:p>
        </w:tc>
        <w:tc>
          <w:tcPr>
            <w:tcW w:type="dxa" w:w="2078"/>
          </w:tcPr>
          <w:p>
            <w:r>
              <w:t>部门负责人</w:t>
            </w:r>
          </w:p>
        </w:tc>
        <w:tc>
          <w:tcPr>
            <w:tcW w:type="dxa" w:w="2078"/>
          </w:tcPr>
          <w:p>
            <w:r>
              <w:t>7 个工作日</w:t>
            </w:r>
          </w:p>
        </w:tc>
      </w:tr>
      <w:tr>
        <w:tc>
          <w:tcPr>
            <w:tcW w:type="dxa" w:w="2078"/>
          </w:tcPr>
          <w:p>
            <w:r>
              <w:t>重要</w:t>
            </w:r>
          </w:p>
        </w:tc>
        <w:tc>
          <w:tcPr>
            <w:tcW w:type="dxa" w:w="2078"/>
          </w:tcPr>
          <w:p>
            <w:r>
              <w:t>影响部门内部或多个环节</w:t>
            </w:r>
          </w:p>
        </w:tc>
        <w:tc>
          <w:tcPr>
            <w:tcW w:type="dxa" w:w="2078"/>
          </w:tcPr>
          <w:p>
            <w:r>
              <w:t>质量部</w:t>
            </w:r>
          </w:p>
        </w:tc>
        <w:tc>
          <w:tcPr>
            <w:tcW w:type="dxa" w:w="2078"/>
          </w:tcPr>
          <w:p>
            <w:r>
              <w:t>15 个工作日</w:t>
            </w:r>
          </w:p>
        </w:tc>
      </w:tr>
      <w:tr>
        <w:tc>
          <w:tcPr>
            <w:tcW w:type="dxa" w:w="2078"/>
          </w:tcPr>
          <w:p>
            <w:r>
              <w:t>重大</w:t>
            </w:r>
          </w:p>
        </w:tc>
        <w:tc>
          <w:tcPr>
            <w:tcW w:type="dxa" w:w="2078"/>
          </w:tcPr>
          <w:p>
            <w:r>
              <w:t>影响体系运行或客户满意</w:t>
            </w:r>
          </w:p>
        </w:tc>
        <w:tc>
          <w:tcPr>
            <w:tcW w:type="dxa" w:w="2078"/>
          </w:tcPr>
          <w:p>
            <w:r>
              <w:t>管理者代表</w:t>
            </w:r>
          </w:p>
        </w:tc>
        <w:tc>
          <w:tcPr>
            <w:tcW w:type="dxa" w:w="2078"/>
          </w:tcPr>
          <w:p>
            <w:r>
              <w:t>30 个工作日</w:t>
            </w:r>
          </w:p>
        </w:tc>
      </w:tr>
      <w:tr>
        <w:tc>
          <w:tcPr>
            <w:tcW w:type="dxa" w:w="2078"/>
          </w:tcPr>
          <w:p>
            <w:r>
              <w:t>体系级</w:t>
            </w:r>
          </w:p>
        </w:tc>
        <w:tc>
          <w:tcPr>
            <w:tcW w:type="dxa" w:w="2078"/>
          </w:tcPr>
          <w:p>
            <w:r>
              <w:t>影响公司整体或战略</w:t>
            </w:r>
          </w:p>
        </w:tc>
        <w:tc>
          <w:tcPr>
            <w:tcW w:type="dxa" w:w="2078"/>
          </w:tcPr>
          <w:p>
            <w:r>
              <w:t>总经理</w:t>
            </w:r>
          </w:p>
        </w:tc>
        <w:tc>
          <w:tcPr>
            <w:tcW w:type="dxa" w:w="2078"/>
          </w:tcPr>
          <w:p>
            <w:r>
              <w:t>60 个工作日</w:t>
            </w:r>
          </w:p>
        </w:tc>
      </w:tr>
    </w:tbl>
    <w:p/>
    <w:p>
      <w:pPr>
        <w:pStyle w:val="Heading2"/>
      </w:pPr>
      <w:r>
        <w:t>5.5 记录与统计</w:t>
      </w:r>
    </w:p>
    <w:p>
      <w:pPr>
        <w:pStyle w:val="ListBullet"/>
      </w:pPr>
      <w:r>
        <w:t>质量部建立《纠正和预防措施台账》</w:t>
      </w:r>
    </w:p>
    <w:p>
      <w:pPr>
        <w:pStyle w:val="ListBullet"/>
      </w:pPr>
      <w:r>
        <w:t>定期（每月）统计措施完成情况</w:t>
      </w:r>
    </w:p>
    <w:p>
      <w:pPr>
        <w:pStyle w:val="ListBullet"/>
      </w:pPr>
      <w:r>
        <w:t>分析措施有效性</w:t>
      </w:r>
    </w:p>
    <w:p>
      <w:pPr>
        <w:pStyle w:val="ListBullet"/>
      </w:pPr>
      <w:r>
        <w:t>报告管理评审</w:t>
      </w:r>
    </w:p>
    <w:p/>
    <w:p>
      <w:pPr>
        <w:pStyle w:val="Heading2"/>
      </w:pPr>
      <w:r>
        <w:t>5.6 文件更新</w:t>
      </w:r>
    </w:p>
    <w:p>
      <w:pPr>
        <w:pStyle w:val="ListBullet"/>
      </w:pPr>
      <w:r>
        <w:t>措施涉及文件修改的，按《文件控制程序》执行</w:t>
      </w:r>
    </w:p>
    <w:p>
      <w:pPr>
        <w:pStyle w:val="ListBullet"/>
      </w:pPr>
      <w:r>
        <w:t>确保文件与实际操作一致</w:t>
      </w:r>
    </w:p>
    <w:p>
      <w:pPr>
        <w:pStyle w:val="ListBullet"/>
      </w:pPr>
      <w:r>
        <w:t>培训相关人员</w:t>
      </w:r>
    </w:p>
    <w:p/>
    <w:p>
      <w:pPr>
        <w:pStyle w:val="Heading1"/>
      </w:pPr>
      <w:r>
        <w:t>6. 相关文件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156"/>
        <w:gridCol w:w="4156"/>
      </w:tblGrid>
      <w:tr>
        <w:tc>
          <w:tcPr>
            <w:tcW w:type="dxa" w:w="4156"/>
          </w:tcPr>
          <w:p>
            <w:r>
              <w:t>文件编号</w:t>
            </w:r>
          </w:p>
        </w:tc>
        <w:tc>
          <w:tcPr>
            <w:tcW w:type="dxa" w:w="4156"/>
          </w:tcPr>
          <w:p>
            <w:r>
              <w:t>文件名称</w:t>
            </w:r>
          </w:p>
        </w:tc>
      </w:tr>
      <w:tr>
        <w:tc>
          <w:tcPr>
            <w:tcW w:type="dxa" w:w="4156"/>
          </w:tcPr>
          <w:p>
            <w:r>
              <w:t>QP-001</w:t>
            </w:r>
          </w:p>
        </w:tc>
        <w:tc>
          <w:tcPr>
            <w:tcW w:type="dxa" w:w="4156"/>
          </w:tcPr>
          <w:p>
            <w:r>
              <w:t>文件控制程序</w:t>
            </w:r>
          </w:p>
        </w:tc>
      </w:tr>
      <w:tr>
        <w:tc>
          <w:tcPr>
            <w:tcW w:type="dxa" w:w="4156"/>
          </w:tcPr>
          <w:p>
            <w:r>
              <w:t>QP-002</w:t>
            </w:r>
          </w:p>
        </w:tc>
        <w:tc>
          <w:tcPr>
            <w:tcW w:type="dxa" w:w="4156"/>
          </w:tcPr>
          <w:p>
            <w:r>
              <w:t>记录控制程序</w:t>
            </w:r>
          </w:p>
        </w:tc>
      </w:tr>
      <w:tr>
        <w:tc>
          <w:tcPr>
            <w:tcW w:type="dxa" w:w="4156"/>
          </w:tcPr>
          <w:p>
            <w:r>
              <w:t>QP-006</w:t>
            </w:r>
          </w:p>
        </w:tc>
        <w:tc>
          <w:tcPr>
            <w:tcW w:type="dxa" w:w="4156"/>
          </w:tcPr>
          <w:p>
            <w:r>
              <w:t>不合格品控制程序</w:t>
            </w:r>
          </w:p>
        </w:tc>
      </w:tr>
    </w:tbl>
    <w:p/>
    <w:p>
      <w:pPr>
        <w:pStyle w:val="Heading1"/>
      </w:pPr>
      <w:r>
        <w:t>7. 相关记录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771"/>
        <w:gridCol w:w="2771"/>
        <w:gridCol w:w="2771"/>
      </w:tblGrid>
      <w:tr>
        <w:tc>
          <w:tcPr>
            <w:tcW w:type="dxa" w:w="2771"/>
          </w:tcPr>
          <w:p>
            <w:r>
              <w:t>记录编号</w:t>
            </w:r>
          </w:p>
        </w:tc>
        <w:tc>
          <w:tcPr>
            <w:tcW w:type="dxa" w:w="2771"/>
          </w:tcPr>
          <w:p>
            <w:r>
              <w:t>记录名称</w:t>
            </w:r>
          </w:p>
        </w:tc>
        <w:tc>
          <w:tcPr>
            <w:tcW w:type="dxa" w:w="2771"/>
          </w:tcPr>
          <w:p>
            <w:r>
              <w:t>保存期限</w:t>
            </w:r>
          </w:p>
        </w:tc>
      </w:tr>
      <w:tr>
        <w:tc>
          <w:tcPr>
            <w:tcW w:type="dxa" w:w="2771"/>
          </w:tcPr>
          <w:p>
            <w:r>
              <w:t>FM-023</w:t>
            </w:r>
          </w:p>
        </w:tc>
        <w:tc>
          <w:tcPr>
            <w:tcW w:type="dxa" w:w="2771"/>
          </w:tcPr>
          <w:p>
            <w:r>
              <w:t>纠正和预防措施台账</w:t>
            </w:r>
          </w:p>
        </w:tc>
        <w:tc>
          <w:tcPr>
            <w:tcW w:type="dxa" w:w="2771"/>
          </w:tcPr>
          <w:p>
            <w:r>
              <w:t>3 年</w:t>
            </w:r>
          </w:p>
        </w:tc>
      </w:tr>
      <w:tr>
        <w:tc>
          <w:tcPr>
            <w:tcW w:type="dxa" w:w="2771"/>
          </w:tcPr>
          <w:p>
            <w:r>
              <w:t>FM-024</w:t>
            </w:r>
          </w:p>
        </w:tc>
        <w:tc>
          <w:tcPr>
            <w:tcW w:type="dxa" w:w="2771"/>
          </w:tcPr>
          <w:p>
            <w:r>
              <w:t>纠正和预防措施报告</w:t>
            </w:r>
          </w:p>
        </w:tc>
        <w:tc>
          <w:tcPr>
            <w:tcW w:type="dxa" w:w="2771"/>
          </w:tcPr>
          <w:p>
            <w:r>
              <w:t>3 年</w:t>
            </w:r>
          </w:p>
        </w:tc>
      </w:tr>
      <w:tr>
        <w:tc>
          <w:tcPr>
            <w:tcW w:type="dxa" w:w="2771"/>
          </w:tcPr>
          <w:p>
            <w:r>
              <w:t>FM-025</w:t>
            </w:r>
          </w:p>
        </w:tc>
        <w:tc>
          <w:tcPr>
            <w:tcW w:type="dxa" w:w="2771"/>
          </w:tcPr>
          <w:p>
            <w:r>
              <w:t>改进项目计划表</w:t>
            </w:r>
          </w:p>
        </w:tc>
        <w:tc>
          <w:tcPr>
            <w:tcW w:type="dxa" w:w="2771"/>
          </w:tcPr>
          <w:p>
            <w:r>
              <w:t>3 年</w:t>
            </w:r>
          </w:p>
        </w:tc>
      </w:tr>
    </w:tbl>
    <w:p/>
    <w:p>
      <w:pPr>
        <w:pStyle w:val="Heading1"/>
      </w:pPr>
      <w:r>
        <w:t>8. 附录</w:t>
      </w:r>
    </w:p>
    <w:p>
      <w:pPr>
        <w:pStyle w:val="Heading2"/>
      </w:pPr>
      <w:r>
        <w:t>附录 A：纠正措施流程图</w:t>
      </w:r>
    </w:p>
    <w:p>
      <w:r>
        <w:t>发现不合格 → 记录事实 → 原因分析 → 制定措施 → 审批 → 实施 → 效果验证 → 关闭/重新分析 → 记录归档</w:t>
      </w:r>
    </w:p>
    <w:p>
      <w:pPr>
        <w:pStyle w:val="Heading2"/>
      </w:pPr>
      <w:r>
        <w:t>附录 B：常用分析工具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156"/>
        <w:gridCol w:w="4156"/>
      </w:tblGrid>
      <w:tr>
        <w:tc>
          <w:tcPr>
            <w:tcW w:type="dxa" w:w="4156"/>
          </w:tcPr>
          <w:p>
            <w:r>
              <w:t>工具</w:t>
            </w:r>
          </w:p>
        </w:tc>
        <w:tc>
          <w:tcPr>
            <w:tcW w:type="dxa" w:w="4156"/>
          </w:tcPr>
          <w:p>
            <w:r>
              <w:t>适用场景</w:t>
            </w:r>
          </w:p>
        </w:tc>
      </w:tr>
      <w:tr>
        <w:tc>
          <w:tcPr>
            <w:tcW w:type="dxa" w:w="4156"/>
          </w:tcPr>
          <w:p>
            <w:r>
              <w:t>5Why 分析法</w:t>
            </w:r>
          </w:p>
        </w:tc>
        <w:tc>
          <w:tcPr>
            <w:tcW w:type="dxa" w:w="4156"/>
          </w:tcPr>
          <w:p>
            <w:r>
              <w:t>逐层深入找出根本原因</w:t>
            </w:r>
          </w:p>
        </w:tc>
      </w:tr>
      <w:tr>
        <w:tc>
          <w:tcPr>
            <w:tcW w:type="dxa" w:w="4156"/>
          </w:tcPr>
          <w:p>
            <w:r>
              <w:t>鱼骨图</w:t>
            </w:r>
          </w:p>
        </w:tc>
        <w:tc>
          <w:tcPr>
            <w:tcW w:type="dxa" w:w="4156"/>
          </w:tcPr>
          <w:p>
            <w:r>
              <w:t>分析多因素因果关系</w:t>
            </w:r>
          </w:p>
        </w:tc>
      </w:tr>
      <w:tr>
        <w:tc>
          <w:tcPr>
            <w:tcW w:type="dxa" w:w="4156"/>
          </w:tcPr>
          <w:p>
            <w:r>
              <w:t>FTA 故障树</w:t>
            </w:r>
          </w:p>
        </w:tc>
        <w:tc>
          <w:tcPr>
            <w:tcW w:type="dxa" w:w="4156"/>
          </w:tcPr>
          <w:p>
            <w:r>
              <w:t>分析复杂系统故障</w:t>
            </w:r>
          </w:p>
        </w:tc>
      </w:tr>
      <w:tr>
        <w:tc>
          <w:tcPr>
            <w:tcW w:type="dxa" w:w="4156"/>
          </w:tcPr>
          <w:p>
            <w:r>
              <w:t>帕累托图</w:t>
            </w:r>
          </w:p>
        </w:tc>
        <w:tc>
          <w:tcPr>
            <w:tcW w:type="dxa" w:w="4156"/>
          </w:tcPr>
          <w:p>
            <w:r>
              <w:t>识别主要问题</w:t>
            </w:r>
          </w:p>
        </w:tc>
      </w:tr>
      <w:tr>
        <w:tc>
          <w:tcPr>
            <w:tcW w:type="dxa" w:w="4156"/>
          </w:tcPr>
          <w:p>
            <w:r>
              <w:t>PDCA 循环</w:t>
            </w:r>
          </w:p>
        </w:tc>
        <w:tc>
          <w:tcPr>
            <w:tcW w:type="dxa" w:w="4156"/>
          </w:tcPr>
          <w:p>
            <w:r>
              <w:t>持续改进</w:t>
            </w:r>
          </w:p>
        </w:tc>
      </w:tr>
    </w:tbl>
    <w:p/>
    <w:p>
      <w:r>
        <w:t>编制：_______________    日期：_______________</w:t>
        <w:br/>
        <w:br/>
      </w:r>
      <w:r>
        <w:t>审核：_______________    日期：_______________</w:t>
        <w:br/>
        <w:br/>
      </w:r>
      <w:r>
        <w:t>批准：_______________    日期：_______________</w:t>
      </w:r>
    </w:p>
    <w:p/>
    <w:p>
      <w:pPr>
        <w:jc w:val="center"/>
      </w:pPr>
      <w:r>
        <w:rPr>
          <w:i/>
          <w:sz w:val="18"/>
        </w:rPr>
        <w:t>本文件为受控文件，未经许可不得复制或外传</w:t>
      </w:r>
    </w:p>
    <w:sectPr w:rsidR="00FC693F" w:rsidRPr="0006063C" w:rsidSect="00034616">
      <w:pgSz w:w="11906" w:h="16838"/>
      <w:pgMar w:top="1440" w:right="1797" w:bottom="1440" w:left="179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